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AA56F" w14:textId="77777777" w:rsidR="003D0403" w:rsidRDefault="003D0403" w:rsidP="00DB0013">
      <w:pPr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ESG SWOT </w:t>
      </w:r>
    </w:p>
    <w:p w14:paraId="417A8480" w14:textId="3E6B8388" w:rsidR="003D0403" w:rsidRPr="003D0403" w:rsidRDefault="003D0403" w:rsidP="00DB0013">
      <w:pPr>
        <w:rPr>
          <w:rFonts w:ascii="Calibri" w:hAnsi="Calibri" w:cs="Calibri"/>
          <w:sz w:val="28"/>
          <w:szCs w:val="28"/>
        </w:rPr>
      </w:pPr>
      <w:r w:rsidRPr="003D0403">
        <w:rPr>
          <w:rFonts w:ascii="Calibri" w:hAnsi="Calibri" w:cs="Calibri"/>
          <w:sz w:val="28"/>
          <w:szCs w:val="28"/>
        </w:rPr>
        <w:t>Brug dataindhentningsark som baggrund for denne ESG SWOT – genbesøg interviews, så eventuelle nuancer medtages.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6713"/>
        <w:gridCol w:w="6713"/>
      </w:tblGrid>
      <w:tr w:rsidR="00DB0013" w:rsidRPr="00DB0013" w14:paraId="617D2B54" w14:textId="77777777" w:rsidTr="00DB0013">
        <w:tc>
          <w:tcPr>
            <w:tcW w:w="6713" w:type="dxa"/>
            <w:shd w:val="clear" w:color="auto" w:fill="C1F0C7" w:themeFill="accent3" w:themeFillTint="33"/>
          </w:tcPr>
          <w:p w14:paraId="7E7BFD5D" w14:textId="77777777" w:rsidR="00DB0013" w:rsidRPr="00DB0013" w:rsidRDefault="00DB0013" w:rsidP="00095E67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DB0013">
              <w:rPr>
                <w:rFonts w:ascii="Calibri" w:hAnsi="Calibri" w:cs="Calibri"/>
                <w:b/>
                <w:bCs/>
                <w:sz w:val="32"/>
                <w:szCs w:val="32"/>
              </w:rPr>
              <w:t>Eksisterende interne styrker</w:t>
            </w:r>
          </w:p>
          <w:p w14:paraId="75B3C56E" w14:textId="030481EA" w:rsidR="00DB0013" w:rsidRPr="00DB0013" w:rsidRDefault="00DB0013" w:rsidP="00DB0013">
            <w:pPr>
              <w:spacing w:line="240" w:lineRule="auto"/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 xml:space="preserve">Indsæt de nævnte </w:t>
            </w:r>
            <w:r w:rsidR="0057280D" w:rsidRPr="00DB0013">
              <w:rPr>
                <w:rFonts w:ascii="Calibri" w:hAnsi="Calibri" w:cs="Calibri"/>
              </w:rPr>
              <w:t>ESG-emner</w:t>
            </w:r>
            <w:r w:rsidRPr="00DB0013">
              <w:rPr>
                <w:rFonts w:ascii="Calibri" w:hAnsi="Calibri" w:cs="Calibri"/>
              </w:rPr>
              <w:t xml:space="preserve">, der bliver nævnt i </w:t>
            </w:r>
            <w:r w:rsidR="00784580">
              <w:rPr>
                <w:rFonts w:ascii="Calibri" w:hAnsi="Calibri" w:cs="Calibri"/>
              </w:rPr>
              <w:t>interviews</w:t>
            </w:r>
            <w:r w:rsidRPr="00DB0013">
              <w:rPr>
                <w:rFonts w:ascii="Calibri" w:hAnsi="Calibri" w:cs="Calibri"/>
              </w:rPr>
              <w:t xml:space="preserve"> og omtales som styrker</w:t>
            </w:r>
            <w:r w:rsidR="0057280D">
              <w:rPr>
                <w:rFonts w:ascii="Calibri" w:hAnsi="Calibri" w:cs="Calibri"/>
              </w:rPr>
              <w:t>.</w:t>
            </w:r>
          </w:p>
          <w:p w14:paraId="0CA9F57D" w14:textId="77777777" w:rsidR="00DB0013" w:rsidRPr="00DB0013" w:rsidRDefault="00DB0013" w:rsidP="00DB0013">
            <w:pPr>
              <w:spacing w:line="240" w:lineRule="auto"/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(</w:t>
            </w:r>
            <w:r w:rsidRPr="00DB0013">
              <w:rPr>
                <w:rFonts w:ascii="Calibri" w:hAnsi="Calibri" w:cs="Calibri"/>
                <w:i/>
                <w:iCs/>
              </w:rPr>
              <w:t>Fokus på hvad gør vi rigtigt godt og hvilke kompetencer og strukturer har vi til at gøre det?)</w:t>
            </w:r>
          </w:p>
        </w:tc>
        <w:tc>
          <w:tcPr>
            <w:tcW w:w="6713" w:type="dxa"/>
            <w:shd w:val="clear" w:color="auto" w:fill="FAE2D5" w:themeFill="accent2" w:themeFillTint="33"/>
          </w:tcPr>
          <w:p w14:paraId="6F3B7EDE" w14:textId="77777777" w:rsidR="00DB0013" w:rsidRPr="00DB0013" w:rsidRDefault="00DB0013" w:rsidP="00095E67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DB0013">
              <w:rPr>
                <w:rFonts w:ascii="Calibri" w:hAnsi="Calibri" w:cs="Calibri"/>
                <w:b/>
                <w:bCs/>
                <w:sz w:val="32"/>
                <w:szCs w:val="32"/>
              </w:rPr>
              <w:t>Eksisterende interne svagheder</w:t>
            </w:r>
          </w:p>
          <w:p w14:paraId="587F0F45" w14:textId="5EF8A30E" w:rsidR="00DB0013" w:rsidRPr="00DB0013" w:rsidRDefault="00DB0013" w:rsidP="00DB0013">
            <w:pPr>
              <w:spacing w:line="240" w:lineRule="auto"/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 xml:space="preserve">Indsæt de nævnte </w:t>
            </w:r>
            <w:r w:rsidR="0057280D" w:rsidRPr="00DB0013">
              <w:rPr>
                <w:rFonts w:ascii="Calibri" w:hAnsi="Calibri" w:cs="Calibri"/>
              </w:rPr>
              <w:t>ESG-emner</w:t>
            </w:r>
            <w:r w:rsidRPr="00DB0013">
              <w:rPr>
                <w:rFonts w:ascii="Calibri" w:hAnsi="Calibri" w:cs="Calibri"/>
              </w:rPr>
              <w:t xml:space="preserve">, der bliver nævnt i </w:t>
            </w:r>
            <w:r w:rsidR="00784580">
              <w:rPr>
                <w:rFonts w:ascii="Calibri" w:hAnsi="Calibri" w:cs="Calibri"/>
              </w:rPr>
              <w:t xml:space="preserve">interviews </w:t>
            </w:r>
            <w:r w:rsidRPr="00DB0013">
              <w:rPr>
                <w:rFonts w:ascii="Calibri" w:hAnsi="Calibri" w:cs="Calibri"/>
              </w:rPr>
              <w:t>og omtales som svagheder</w:t>
            </w:r>
            <w:r w:rsidR="0057280D">
              <w:rPr>
                <w:rFonts w:ascii="Calibri" w:hAnsi="Calibri" w:cs="Calibri"/>
              </w:rPr>
              <w:t>.</w:t>
            </w:r>
          </w:p>
          <w:p w14:paraId="1D79B764" w14:textId="29A1A04C" w:rsidR="00DB0013" w:rsidRPr="00DB0013" w:rsidRDefault="00DB0013" w:rsidP="00DB0013">
            <w:pPr>
              <w:spacing w:line="240" w:lineRule="auto"/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(</w:t>
            </w:r>
            <w:r w:rsidRPr="00DB0013">
              <w:rPr>
                <w:rFonts w:ascii="Calibri" w:hAnsi="Calibri" w:cs="Calibri"/>
                <w:i/>
                <w:iCs/>
              </w:rPr>
              <w:t>Hvad gør vi ikke så godt?</w:t>
            </w:r>
            <w:r w:rsidR="00914BC1">
              <w:rPr>
                <w:rFonts w:ascii="Calibri" w:hAnsi="Calibri" w:cs="Calibri"/>
                <w:i/>
                <w:iCs/>
              </w:rPr>
              <w:t xml:space="preserve"> Måske mangler vi noget</w:t>
            </w:r>
            <w:r w:rsidR="00784580">
              <w:rPr>
                <w:rFonts w:ascii="Calibri" w:hAnsi="Calibri" w:cs="Calibri"/>
                <w:i/>
                <w:iCs/>
              </w:rPr>
              <w:t xml:space="preserve"> og giver det ikke nok fokus</w:t>
            </w:r>
            <w:r w:rsidR="00914BC1">
              <w:rPr>
                <w:rFonts w:ascii="Calibri" w:hAnsi="Calibri" w:cs="Calibri"/>
                <w:i/>
                <w:iCs/>
              </w:rPr>
              <w:t>?</w:t>
            </w:r>
            <w:r w:rsidRPr="00DB0013">
              <w:rPr>
                <w:rFonts w:ascii="Calibri" w:hAnsi="Calibri" w:cs="Calibri"/>
                <w:i/>
                <w:iCs/>
              </w:rPr>
              <w:t>)</w:t>
            </w:r>
          </w:p>
        </w:tc>
      </w:tr>
      <w:tr w:rsidR="00DB0013" w:rsidRPr="00DB0013" w14:paraId="52E30676" w14:textId="77777777" w:rsidTr="00095E67">
        <w:tc>
          <w:tcPr>
            <w:tcW w:w="6713" w:type="dxa"/>
          </w:tcPr>
          <w:p w14:paraId="19F4119B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E – Environmental</w:t>
            </w:r>
          </w:p>
          <w:p w14:paraId="435423DA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</w:p>
        </w:tc>
        <w:tc>
          <w:tcPr>
            <w:tcW w:w="6713" w:type="dxa"/>
          </w:tcPr>
          <w:p w14:paraId="0DF0330C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E - Environmental</w:t>
            </w:r>
          </w:p>
        </w:tc>
      </w:tr>
      <w:tr w:rsidR="00DB0013" w:rsidRPr="00DB0013" w14:paraId="5808C890" w14:textId="77777777" w:rsidTr="00095E67">
        <w:tc>
          <w:tcPr>
            <w:tcW w:w="6713" w:type="dxa"/>
          </w:tcPr>
          <w:p w14:paraId="6A7BB20F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S – Social</w:t>
            </w:r>
          </w:p>
          <w:p w14:paraId="266AD772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</w:p>
        </w:tc>
        <w:tc>
          <w:tcPr>
            <w:tcW w:w="6713" w:type="dxa"/>
          </w:tcPr>
          <w:p w14:paraId="6BD7FCC3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S - Social</w:t>
            </w:r>
          </w:p>
        </w:tc>
      </w:tr>
      <w:tr w:rsidR="00DB0013" w:rsidRPr="00DB0013" w14:paraId="73C4C46C" w14:textId="77777777" w:rsidTr="00095E67">
        <w:tc>
          <w:tcPr>
            <w:tcW w:w="6713" w:type="dxa"/>
          </w:tcPr>
          <w:p w14:paraId="640322BD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G – Governance</w:t>
            </w:r>
          </w:p>
          <w:p w14:paraId="6758921C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</w:p>
        </w:tc>
        <w:tc>
          <w:tcPr>
            <w:tcW w:w="6713" w:type="dxa"/>
          </w:tcPr>
          <w:p w14:paraId="4BEA3A20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G - Governance</w:t>
            </w:r>
          </w:p>
        </w:tc>
      </w:tr>
      <w:tr w:rsidR="00DB0013" w:rsidRPr="00DB0013" w14:paraId="279354F5" w14:textId="77777777" w:rsidTr="00DB0013">
        <w:tc>
          <w:tcPr>
            <w:tcW w:w="6713" w:type="dxa"/>
            <w:shd w:val="clear" w:color="auto" w:fill="CAEDFB" w:themeFill="accent4" w:themeFillTint="33"/>
          </w:tcPr>
          <w:p w14:paraId="5EB06B87" w14:textId="335EB66F" w:rsidR="00DB0013" w:rsidRPr="00DB0013" w:rsidRDefault="00496614" w:rsidP="00095E67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E</w:t>
            </w:r>
            <w:r w:rsidR="00DB0013" w:rsidRPr="00DB0013">
              <w:rPr>
                <w:rFonts w:ascii="Calibri" w:hAnsi="Calibri" w:cs="Calibri"/>
                <w:b/>
                <w:bCs/>
                <w:sz w:val="32"/>
                <w:szCs w:val="32"/>
              </w:rPr>
              <w:t>ksterne muligheder</w:t>
            </w:r>
          </w:p>
          <w:p w14:paraId="4E03DBE0" w14:textId="47AFA218" w:rsidR="00DB0013" w:rsidRPr="00DB0013" w:rsidRDefault="00DB0013" w:rsidP="00496614">
            <w:pPr>
              <w:spacing w:line="240" w:lineRule="auto"/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 xml:space="preserve">Indsæt de nævnte </w:t>
            </w:r>
            <w:r w:rsidR="0057280D" w:rsidRPr="00DB0013">
              <w:rPr>
                <w:rFonts w:ascii="Calibri" w:hAnsi="Calibri" w:cs="Calibri"/>
              </w:rPr>
              <w:t>ESG-emner</w:t>
            </w:r>
            <w:r w:rsidRPr="00DB0013">
              <w:rPr>
                <w:rFonts w:ascii="Calibri" w:hAnsi="Calibri" w:cs="Calibri"/>
              </w:rPr>
              <w:t xml:space="preserve">, der bliver nævnt i </w:t>
            </w:r>
            <w:r w:rsidR="003D0403">
              <w:rPr>
                <w:rFonts w:ascii="Calibri" w:hAnsi="Calibri" w:cs="Calibri"/>
              </w:rPr>
              <w:t>interviews</w:t>
            </w:r>
            <w:r w:rsidRPr="00DB0013">
              <w:rPr>
                <w:rFonts w:ascii="Calibri" w:hAnsi="Calibri" w:cs="Calibri"/>
              </w:rPr>
              <w:t xml:space="preserve"> som eksterne muligheder</w:t>
            </w:r>
            <w:r w:rsidR="00496614">
              <w:rPr>
                <w:rFonts w:ascii="Calibri" w:hAnsi="Calibri" w:cs="Calibri"/>
              </w:rPr>
              <w:t xml:space="preserve"> eller potentiale.</w:t>
            </w:r>
          </w:p>
        </w:tc>
        <w:tc>
          <w:tcPr>
            <w:tcW w:w="6713" w:type="dxa"/>
            <w:shd w:val="clear" w:color="auto" w:fill="D1D1D1" w:themeFill="background2" w:themeFillShade="E6"/>
          </w:tcPr>
          <w:p w14:paraId="0516EC95" w14:textId="2633B310" w:rsidR="00DB0013" w:rsidRPr="00DB0013" w:rsidRDefault="00496614" w:rsidP="00095E67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E</w:t>
            </w:r>
            <w:r w:rsidR="00DB0013" w:rsidRPr="00DB0013">
              <w:rPr>
                <w:rFonts w:ascii="Calibri" w:hAnsi="Calibri" w:cs="Calibri"/>
                <w:b/>
                <w:bCs/>
                <w:sz w:val="32"/>
                <w:szCs w:val="32"/>
              </w:rPr>
              <w:t>ksterne trusler</w:t>
            </w:r>
          </w:p>
          <w:p w14:paraId="66A64A6B" w14:textId="3539BC95" w:rsidR="00496614" w:rsidRPr="00DB0013" w:rsidRDefault="00DB0013" w:rsidP="00DB0013">
            <w:pPr>
              <w:spacing w:line="240" w:lineRule="auto"/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 xml:space="preserve">Indsæt de nævnte </w:t>
            </w:r>
            <w:r w:rsidR="0057280D" w:rsidRPr="00DB0013">
              <w:rPr>
                <w:rFonts w:ascii="Calibri" w:hAnsi="Calibri" w:cs="Calibri"/>
              </w:rPr>
              <w:t>ESG-emner</w:t>
            </w:r>
            <w:r w:rsidRPr="00DB0013">
              <w:rPr>
                <w:rFonts w:ascii="Calibri" w:hAnsi="Calibri" w:cs="Calibri"/>
              </w:rPr>
              <w:t xml:space="preserve">, der bliver nævnt i </w:t>
            </w:r>
            <w:r w:rsidR="003D0403">
              <w:rPr>
                <w:rFonts w:ascii="Calibri" w:hAnsi="Calibri" w:cs="Calibri"/>
              </w:rPr>
              <w:t>interviews</w:t>
            </w:r>
            <w:r w:rsidRPr="00DB0013">
              <w:rPr>
                <w:rFonts w:ascii="Calibri" w:hAnsi="Calibri" w:cs="Calibri"/>
              </w:rPr>
              <w:t xml:space="preserve"> som eksterne </w:t>
            </w:r>
            <w:r>
              <w:rPr>
                <w:rFonts w:ascii="Calibri" w:hAnsi="Calibri" w:cs="Calibri"/>
              </w:rPr>
              <w:t>trusler</w:t>
            </w:r>
            <w:r w:rsidR="00496614">
              <w:rPr>
                <w:rFonts w:ascii="Calibri" w:hAnsi="Calibri" w:cs="Calibri"/>
              </w:rPr>
              <w:t xml:space="preserve"> eller forhindringer.</w:t>
            </w:r>
          </w:p>
          <w:p w14:paraId="5B7EB930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</w:p>
        </w:tc>
      </w:tr>
      <w:tr w:rsidR="00DB0013" w:rsidRPr="00DB0013" w14:paraId="61DB0783" w14:textId="77777777" w:rsidTr="00DB0013">
        <w:tc>
          <w:tcPr>
            <w:tcW w:w="6713" w:type="dxa"/>
          </w:tcPr>
          <w:p w14:paraId="21B5EC5B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E – Environmental</w:t>
            </w:r>
          </w:p>
          <w:p w14:paraId="5B392869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</w:p>
        </w:tc>
        <w:tc>
          <w:tcPr>
            <w:tcW w:w="6713" w:type="dxa"/>
          </w:tcPr>
          <w:p w14:paraId="3AD03DAE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E - Environmental</w:t>
            </w:r>
          </w:p>
        </w:tc>
      </w:tr>
      <w:tr w:rsidR="00DB0013" w:rsidRPr="00DB0013" w14:paraId="244D54BA" w14:textId="77777777" w:rsidTr="00DB0013">
        <w:tc>
          <w:tcPr>
            <w:tcW w:w="6713" w:type="dxa"/>
          </w:tcPr>
          <w:p w14:paraId="2ABC1B7C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S – Social</w:t>
            </w:r>
          </w:p>
          <w:p w14:paraId="0D77374C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</w:p>
        </w:tc>
        <w:tc>
          <w:tcPr>
            <w:tcW w:w="6713" w:type="dxa"/>
          </w:tcPr>
          <w:p w14:paraId="31910A85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S - Social</w:t>
            </w:r>
          </w:p>
        </w:tc>
      </w:tr>
      <w:tr w:rsidR="00DB0013" w:rsidRPr="00DB0013" w14:paraId="1A8D75D3" w14:textId="77777777" w:rsidTr="00DB0013">
        <w:tc>
          <w:tcPr>
            <w:tcW w:w="6713" w:type="dxa"/>
          </w:tcPr>
          <w:p w14:paraId="45B83731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G – Governance</w:t>
            </w:r>
          </w:p>
          <w:p w14:paraId="472A218D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</w:p>
        </w:tc>
        <w:tc>
          <w:tcPr>
            <w:tcW w:w="6713" w:type="dxa"/>
          </w:tcPr>
          <w:p w14:paraId="3655F464" w14:textId="77777777" w:rsidR="00DB0013" w:rsidRPr="00DB0013" w:rsidRDefault="00DB0013" w:rsidP="00095E67">
            <w:pPr>
              <w:rPr>
                <w:rFonts w:ascii="Calibri" w:hAnsi="Calibri" w:cs="Calibri"/>
              </w:rPr>
            </w:pPr>
            <w:r w:rsidRPr="00DB0013">
              <w:rPr>
                <w:rFonts w:ascii="Calibri" w:hAnsi="Calibri" w:cs="Calibri"/>
              </w:rPr>
              <w:t>G - Governance</w:t>
            </w:r>
          </w:p>
        </w:tc>
      </w:tr>
    </w:tbl>
    <w:p w14:paraId="5E40A102" w14:textId="77777777" w:rsidR="00A07C72" w:rsidRPr="00DB0013" w:rsidRDefault="00A07C72">
      <w:pPr>
        <w:rPr>
          <w:rFonts w:ascii="Calibri" w:hAnsi="Calibri" w:cs="Calibri"/>
        </w:rPr>
      </w:pPr>
    </w:p>
    <w:sectPr w:rsidR="00A07C72" w:rsidRPr="00DB0013" w:rsidSect="00DB0013">
      <w:headerReference w:type="default" r:id="rId6"/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AC1EB" w14:textId="77777777" w:rsidR="00503651" w:rsidRDefault="00503651" w:rsidP="00DB0013">
      <w:pPr>
        <w:spacing w:after="0" w:line="240" w:lineRule="auto"/>
      </w:pPr>
      <w:r>
        <w:separator/>
      </w:r>
    </w:p>
  </w:endnote>
  <w:endnote w:type="continuationSeparator" w:id="0">
    <w:p w14:paraId="7E1D92D0" w14:textId="77777777" w:rsidR="00503651" w:rsidRDefault="00503651" w:rsidP="00DB0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61C3D" w14:textId="77777777" w:rsidR="00503651" w:rsidRDefault="00503651" w:rsidP="00DB0013">
      <w:pPr>
        <w:spacing w:after="0" w:line="240" w:lineRule="auto"/>
      </w:pPr>
      <w:r>
        <w:separator/>
      </w:r>
    </w:p>
  </w:footnote>
  <w:footnote w:type="continuationSeparator" w:id="0">
    <w:p w14:paraId="4F016C0C" w14:textId="77777777" w:rsidR="00503651" w:rsidRDefault="00503651" w:rsidP="00DB0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B082B" w14:textId="5F3F03B7" w:rsidR="00DB0013" w:rsidRDefault="00DB0013">
    <w:pPr>
      <w:pStyle w:val="Sidehoved"/>
    </w:pPr>
    <w:r>
      <w:rPr>
        <w:noProof/>
      </w:rPr>
      <w:drawing>
        <wp:inline distT="0" distB="0" distL="0" distR="0" wp14:anchorId="0F7E778C" wp14:editId="01BCF733">
          <wp:extent cx="502920" cy="502920"/>
          <wp:effectExtent l="0" t="0" r="0" b="0"/>
          <wp:docPr id="1002312364" name="Billede 1" descr="Et billede, der indeholder smil, clipart, cirkel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312364" name="Billede 1" descr="Et billede, der indeholder smil, clipart, cirkel, Grafik&#10;&#10;Automatisk generere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925" cy="50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13"/>
    <w:rsid w:val="00190D4A"/>
    <w:rsid w:val="003D0403"/>
    <w:rsid w:val="00496614"/>
    <w:rsid w:val="0050101A"/>
    <w:rsid w:val="00503651"/>
    <w:rsid w:val="0057280D"/>
    <w:rsid w:val="006646EE"/>
    <w:rsid w:val="00784580"/>
    <w:rsid w:val="007C1A70"/>
    <w:rsid w:val="007D50CC"/>
    <w:rsid w:val="00914BC1"/>
    <w:rsid w:val="009E57C1"/>
    <w:rsid w:val="00A07C72"/>
    <w:rsid w:val="00AA11C2"/>
    <w:rsid w:val="00C40AE6"/>
    <w:rsid w:val="00CA43DD"/>
    <w:rsid w:val="00DB0013"/>
    <w:rsid w:val="00E4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DE3C2"/>
  <w15:chartTrackingRefBased/>
  <w15:docId w15:val="{C6130192-3A22-47D8-A94B-DACE6D2F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Black" w:eastAsiaTheme="minorHAnsi" w:hAnsi="Arial Black" w:cstheme="minorBidi"/>
        <w:color w:val="0E2841" w:themeColor="text2"/>
        <w:kern w:val="2"/>
        <w:sz w:val="3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013"/>
    <w:pPr>
      <w:spacing w:line="278" w:lineRule="auto"/>
    </w:pPr>
    <w:rPr>
      <w:rFonts w:asciiTheme="minorHAnsi" w:hAnsiTheme="minorHAnsi"/>
      <w:color w:val="auto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B00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B00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B001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B001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B001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B001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B001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B001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Cs w:val="2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B001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B00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B0013"/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B001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B0013"/>
    <w:rPr>
      <w:rFonts w:asciiTheme="minorHAnsi" w:eastAsiaTheme="majorEastAsia" w:hAnsiTheme="minorHAnsi" w:cstheme="majorBidi"/>
      <w:i/>
      <w:iCs/>
      <w:color w:val="0F4761" w:themeColor="accent1" w:themeShade="BF"/>
      <w:sz w:val="24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B0013"/>
    <w:rPr>
      <w:rFonts w:asciiTheme="minorHAnsi" w:eastAsiaTheme="majorEastAsia" w:hAnsiTheme="minorHAnsi" w:cstheme="majorBidi"/>
      <w:color w:val="0F4761" w:themeColor="accent1" w:themeShade="BF"/>
      <w:sz w:val="24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B0013"/>
    <w:rPr>
      <w:rFonts w:asciiTheme="minorHAnsi" w:eastAsiaTheme="majorEastAsia" w:hAnsiTheme="minorHAnsi" w:cstheme="majorBidi"/>
      <w:i/>
      <w:iCs/>
      <w:color w:val="595959" w:themeColor="text1" w:themeTint="A6"/>
      <w:sz w:val="24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B0013"/>
    <w:rPr>
      <w:rFonts w:asciiTheme="minorHAnsi" w:eastAsiaTheme="majorEastAsia" w:hAnsiTheme="minorHAnsi" w:cstheme="majorBidi"/>
      <w:color w:val="595959" w:themeColor="text1" w:themeTint="A6"/>
      <w:sz w:val="24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B0013"/>
    <w:rPr>
      <w:rFonts w:asciiTheme="minorHAnsi" w:eastAsiaTheme="majorEastAsia" w:hAnsiTheme="minorHAnsi" w:cstheme="majorBidi"/>
      <w:i/>
      <w:iCs/>
      <w:color w:val="272727" w:themeColor="text1" w:themeTint="D8"/>
      <w:sz w:val="24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B0013"/>
    <w:rPr>
      <w:rFonts w:asciiTheme="minorHAnsi" w:eastAsiaTheme="majorEastAsia" w:hAnsiTheme="minorHAnsi" w:cstheme="majorBidi"/>
      <w:color w:val="272727" w:themeColor="text1" w:themeTint="D8"/>
      <w:sz w:val="24"/>
    </w:rPr>
  </w:style>
  <w:style w:type="paragraph" w:styleId="Titel">
    <w:name w:val="Title"/>
    <w:basedOn w:val="Normal"/>
    <w:next w:val="Normal"/>
    <w:link w:val="TitelTegn"/>
    <w:uiPriority w:val="10"/>
    <w:qFormat/>
    <w:rsid w:val="00DB00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B0013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B001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B00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B0013"/>
    <w:pPr>
      <w:spacing w:before="160" w:line="259" w:lineRule="auto"/>
      <w:jc w:val="center"/>
    </w:pPr>
    <w:rPr>
      <w:rFonts w:ascii="Calibri" w:hAnsi="Calibri"/>
      <w:i/>
      <w:iCs/>
      <w:color w:val="404040" w:themeColor="text1" w:themeTint="BF"/>
      <w:szCs w:val="22"/>
    </w:rPr>
  </w:style>
  <w:style w:type="character" w:customStyle="1" w:styleId="CitatTegn">
    <w:name w:val="Citat Tegn"/>
    <w:basedOn w:val="Standardskrifttypeiafsnit"/>
    <w:link w:val="Citat"/>
    <w:uiPriority w:val="29"/>
    <w:rsid w:val="00DB0013"/>
    <w:rPr>
      <w:rFonts w:ascii="Calibri" w:hAnsi="Calibri"/>
      <w:i/>
      <w:iCs/>
      <w:color w:val="404040" w:themeColor="text1" w:themeTint="BF"/>
      <w:sz w:val="24"/>
    </w:rPr>
  </w:style>
  <w:style w:type="paragraph" w:styleId="Listeafsnit">
    <w:name w:val="List Paragraph"/>
    <w:basedOn w:val="Normal"/>
    <w:uiPriority w:val="34"/>
    <w:qFormat/>
    <w:rsid w:val="00DB0013"/>
    <w:pPr>
      <w:spacing w:line="259" w:lineRule="auto"/>
      <w:ind w:left="720"/>
      <w:contextualSpacing/>
    </w:pPr>
    <w:rPr>
      <w:rFonts w:ascii="Calibri" w:hAnsi="Calibri"/>
      <w:color w:val="0E2841" w:themeColor="text2"/>
      <w:szCs w:val="22"/>
    </w:rPr>
  </w:style>
  <w:style w:type="character" w:styleId="Kraftigfremhvning">
    <w:name w:val="Intense Emphasis"/>
    <w:basedOn w:val="Standardskrifttypeiafsnit"/>
    <w:uiPriority w:val="21"/>
    <w:qFormat/>
    <w:rsid w:val="00DB0013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B00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szCs w:val="22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B0013"/>
    <w:rPr>
      <w:rFonts w:ascii="Calibri" w:hAnsi="Calibri"/>
      <w:i/>
      <w:iCs/>
      <w:color w:val="0F4761" w:themeColor="accent1" w:themeShade="BF"/>
      <w:sz w:val="24"/>
    </w:rPr>
  </w:style>
  <w:style w:type="character" w:styleId="Kraftighenvisning">
    <w:name w:val="Intense Reference"/>
    <w:basedOn w:val="Standardskrifttypeiafsnit"/>
    <w:uiPriority w:val="32"/>
    <w:qFormat/>
    <w:rsid w:val="00DB0013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DB0013"/>
    <w:pPr>
      <w:spacing w:after="0" w:line="240" w:lineRule="auto"/>
    </w:pPr>
    <w:rPr>
      <w:rFonts w:asciiTheme="minorHAnsi" w:hAnsiTheme="minorHAnsi"/>
      <w:color w:val="aut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DB00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B0013"/>
    <w:rPr>
      <w:rFonts w:asciiTheme="minorHAnsi" w:hAnsiTheme="minorHAnsi"/>
      <w:color w:val="auto"/>
      <w:sz w:val="24"/>
      <w:szCs w:val="24"/>
    </w:rPr>
  </w:style>
  <w:style w:type="paragraph" w:styleId="Sidefod">
    <w:name w:val="footer"/>
    <w:basedOn w:val="Normal"/>
    <w:link w:val="SidefodTegn"/>
    <w:uiPriority w:val="99"/>
    <w:unhideWhenUsed/>
    <w:rsid w:val="00DB00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B0013"/>
    <w:rPr>
      <w:rFonts w:asciiTheme="minorHAnsi" w:hAnsiTheme="minorHAns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819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Gaye (JGA - Kommunikationsansvarlig - SE - AK)</dc:creator>
  <cp:keywords/>
  <dc:description/>
  <cp:lastModifiedBy>Maria Lynggaard Ehmsen (EHMS - konsulent - SE - AK)</cp:lastModifiedBy>
  <cp:revision>3</cp:revision>
  <dcterms:created xsi:type="dcterms:W3CDTF">2024-06-23T14:06:00Z</dcterms:created>
  <dcterms:modified xsi:type="dcterms:W3CDTF">2024-07-13T08:57:00Z</dcterms:modified>
</cp:coreProperties>
</file>